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20" w:rsidRDefault="00D23B20" w:rsidP="00553FEA">
      <w:pPr>
        <w:tabs>
          <w:tab w:val="left" w:pos="-1440"/>
          <w:tab w:val="left" w:pos="-720"/>
          <w:tab w:val="right" w:pos="10080"/>
        </w:tabs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Regional Exceptions</w:t>
      </w:r>
    </w:p>
    <w:p w:rsidR="00D23B20" w:rsidRDefault="00D23B20" w:rsidP="00553FEA">
      <w:pPr>
        <w:tabs>
          <w:tab w:val="left" w:pos="-1440"/>
          <w:tab w:val="left" w:pos="-720"/>
          <w:tab w:val="right" w:pos="10080"/>
        </w:tabs>
        <w:jc w:val="center"/>
        <w:rPr>
          <w:rFonts w:ascii="Times New Roman" w:hAnsi="Times New Roman"/>
          <w:b/>
          <w:szCs w:val="24"/>
        </w:rPr>
      </w:pPr>
    </w:p>
    <w:p w:rsidR="00D23B20" w:rsidRDefault="00A67688" w:rsidP="00A67688">
      <w:pPr>
        <w:tabs>
          <w:tab w:val="left" w:pos="-1440"/>
          <w:tab w:val="left" w:pos="-720"/>
          <w:tab w:val="right" w:pos="10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 </w:t>
      </w:r>
      <w:r w:rsidR="00D23B20">
        <w:rPr>
          <w:rFonts w:ascii="Times New Roman" w:hAnsi="Times New Roman"/>
          <w:szCs w:val="24"/>
        </w:rPr>
        <w:t>ALTA</w:t>
      </w:r>
      <w:r>
        <w:rPr>
          <w:rFonts w:ascii="Times New Roman" w:hAnsi="Times New Roman"/>
          <w:szCs w:val="24"/>
        </w:rPr>
        <w:t xml:space="preserve"> policy is an extended coverage poli</w:t>
      </w:r>
      <w:r w:rsidR="006E480F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y. T</w:t>
      </w:r>
      <w:r w:rsidR="00D23B20">
        <w:rPr>
          <w:rFonts w:ascii="Times New Roman" w:hAnsi="Times New Roman"/>
          <w:szCs w:val="24"/>
        </w:rPr>
        <w:t xml:space="preserve">o </w:t>
      </w:r>
      <w:r>
        <w:rPr>
          <w:rFonts w:ascii="Times New Roman" w:hAnsi="Times New Roman"/>
          <w:szCs w:val="24"/>
        </w:rPr>
        <w:t xml:space="preserve">convert it to </w:t>
      </w:r>
      <w:r w:rsidR="00D23B20">
        <w:rPr>
          <w:rFonts w:ascii="Times New Roman" w:hAnsi="Times New Roman"/>
          <w:szCs w:val="24"/>
        </w:rPr>
        <w:t xml:space="preserve">a standard coverage policy, add </w:t>
      </w:r>
      <w:r>
        <w:rPr>
          <w:rFonts w:ascii="Times New Roman" w:hAnsi="Times New Roman"/>
          <w:szCs w:val="24"/>
        </w:rPr>
        <w:t xml:space="preserve">the following </w:t>
      </w:r>
      <w:r w:rsidR="00D23B20">
        <w:rPr>
          <w:rFonts w:ascii="Times New Roman" w:hAnsi="Times New Roman"/>
          <w:szCs w:val="24"/>
        </w:rPr>
        <w:t>“Regional Exceptions” to Schedule B</w:t>
      </w:r>
    </w:p>
    <w:p w:rsidR="00D23B20" w:rsidRDefault="00D23B20" w:rsidP="00D23B20">
      <w:pPr>
        <w:tabs>
          <w:tab w:val="left" w:pos="-1440"/>
          <w:tab w:val="left" w:pos="-720"/>
          <w:tab w:val="right" w:pos="10080"/>
        </w:tabs>
        <w:rPr>
          <w:rFonts w:ascii="Times New Roman" w:hAnsi="Times New Roman"/>
          <w:szCs w:val="24"/>
        </w:rPr>
      </w:pPr>
    </w:p>
    <w:p w:rsidR="00D23B20" w:rsidRPr="00D23B20" w:rsidRDefault="00D23B20" w:rsidP="00D23B20">
      <w:pPr>
        <w:tabs>
          <w:tab w:val="left" w:pos="-1440"/>
          <w:tab w:val="left" w:pos="-720"/>
          <w:tab w:val="right" w:pos="10080"/>
        </w:tabs>
        <w:rPr>
          <w:rFonts w:ascii="Times New Roman" w:hAnsi="Times New Roman"/>
          <w:szCs w:val="24"/>
        </w:rPr>
      </w:pPr>
    </w:p>
    <w:p w:rsidR="00581EB2" w:rsidRPr="00D23B20" w:rsidRDefault="00581EB2" w:rsidP="00581EB2">
      <w:pPr>
        <w:tabs>
          <w:tab w:val="left" w:pos="-1440"/>
          <w:tab w:val="left" w:pos="-720"/>
          <w:tab w:val="right" w:pos="10080"/>
        </w:tabs>
        <w:jc w:val="center"/>
        <w:rPr>
          <w:rFonts w:ascii="Times New Roman" w:hAnsi="Times New Roman"/>
          <w:szCs w:val="24"/>
        </w:rPr>
      </w:pPr>
      <w:r w:rsidRPr="00D23B20">
        <w:rPr>
          <w:rFonts w:ascii="Times New Roman" w:hAnsi="Times New Roman"/>
          <w:szCs w:val="24"/>
        </w:rPr>
        <w:t xml:space="preserve">EXCEPTIONS FROM COVERAGE </w:t>
      </w:r>
      <w:r>
        <w:rPr>
          <w:rFonts w:ascii="Times New Roman" w:hAnsi="Times New Roman"/>
          <w:szCs w:val="24"/>
        </w:rPr>
        <w:t>–</w:t>
      </w:r>
      <w:r w:rsidRPr="00D23B20">
        <w:rPr>
          <w:rFonts w:ascii="Times New Roman" w:hAnsi="Times New Roman"/>
          <w:szCs w:val="24"/>
        </w:rPr>
        <w:t>SCHEDULE B</w:t>
      </w:r>
    </w:p>
    <w:p w:rsidR="00581EB2" w:rsidRPr="00D23B20" w:rsidRDefault="00581EB2" w:rsidP="00581EB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Cs w:val="24"/>
        </w:rPr>
      </w:pPr>
    </w:p>
    <w:p w:rsidR="00581EB2" w:rsidRPr="00553FEA" w:rsidRDefault="00581EB2" w:rsidP="00581EB2">
      <w:pPr>
        <w:tabs>
          <w:tab w:val="left" w:pos="-1440"/>
          <w:tab w:val="left" w:pos="-72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Cs w:val="24"/>
        </w:rPr>
      </w:pPr>
      <w:r w:rsidRPr="00553FEA">
        <w:rPr>
          <w:rFonts w:ascii="Times New Roman" w:hAnsi="Times New Roman"/>
          <w:szCs w:val="24"/>
        </w:rPr>
        <w:t>This policy does not insure against loss or damage (and the Company will not pay costs, attorneys' fees or expenses) which arise by reason of:</w:t>
      </w:r>
    </w:p>
    <w:p w:rsidR="00581EB2" w:rsidRPr="00553FEA" w:rsidRDefault="00581EB2" w:rsidP="00581EB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Cs w:val="24"/>
        </w:rPr>
      </w:pPr>
    </w:p>
    <w:p w:rsidR="00581EB2" w:rsidRPr="00553FEA" w:rsidRDefault="00581EB2" w:rsidP="00581EB2">
      <w:pPr>
        <w:tabs>
          <w:tab w:val="left" w:pos="450"/>
        </w:tabs>
        <w:ind w:left="450" w:hanging="450"/>
        <w:jc w:val="both"/>
        <w:rPr>
          <w:rFonts w:ascii="Times New Roman" w:hAnsi="Times New Roman"/>
          <w:szCs w:val="24"/>
        </w:rPr>
      </w:pPr>
      <w:r w:rsidRPr="00553FEA">
        <w:rPr>
          <w:rFonts w:ascii="Times New Roman" w:hAnsi="Times New Roman"/>
          <w:szCs w:val="24"/>
        </w:rPr>
        <w:t>1.</w:t>
      </w:r>
      <w:r w:rsidRPr="00553FEA">
        <w:rPr>
          <w:rFonts w:ascii="Times New Roman" w:hAnsi="Times New Roman"/>
          <w:szCs w:val="24"/>
        </w:rPr>
        <w:tab/>
        <w:t xml:space="preserve">Taxes or assessments which are not shown as existing liens by the records of any taxing authority that levies taxes or assessments on real property or by the </w:t>
      </w:r>
      <w:r>
        <w:rPr>
          <w:rFonts w:ascii="Times New Roman" w:hAnsi="Times New Roman"/>
          <w:szCs w:val="24"/>
        </w:rPr>
        <w:t>P</w:t>
      </w:r>
      <w:r w:rsidRPr="00553FEA">
        <w:rPr>
          <w:rFonts w:ascii="Times New Roman" w:hAnsi="Times New Roman"/>
          <w:szCs w:val="24"/>
        </w:rPr>
        <w:t xml:space="preserve">ublic </w:t>
      </w:r>
      <w:r>
        <w:rPr>
          <w:rFonts w:ascii="Times New Roman" w:hAnsi="Times New Roman"/>
          <w:szCs w:val="24"/>
        </w:rPr>
        <w:t>R</w:t>
      </w:r>
      <w:r w:rsidRPr="00553FEA">
        <w:rPr>
          <w:rFonts w:ascii="Times New Roman" w:hAnsi="Times New Roman"/>
          <w:szCs w:val="24"/>
        </w:rPr>
        <w:t>ecords.</w:t>
      </w:r>
    </w:p>
    <w:p w:rsidR="00581EB2" w:rsidRPr="00553FEA" w:rsidRDefault="00581EB2" w:rsidP="00581EB2">
      <w:pPr>
        <w:tabs>
          <w:tab w:val="left" w:pos="450"/>
        </w:tabs>
        <w:ind w:left="450" w:hanging="450"/>
        <w:jc w:val="both"/>
        <w:rPr>
          <w:rFonts w:ascii="Times New Roman" w:hAnsi="Times New Roman"/>
          <w:szCs w:val="24"/>
        </w:rPr>
      </w:pPr>
    </w:p>
    <w:p w:rsidR="00581EB2" w:rsidRPr="00553FEA" w:rsidRDefault="00581EB2" w:rsidP="00581EB2">
      <w:pPr>
        <w:tabs>
          <w:tab w:val="left" w:pos="450"/>
        </w:tabs>
        <w:ind w:left="450"/>
        <w:jc w:val="both"/>
        <w:rPr>
          <w:rFonts w:ascii="Times New Roman" w:hAnsi="Times New Roman"/>
          <w:szCs w:val="24"/>
        </w:rPr>
      </w:pPr>
      <w:r w:rsidRPr="00553FEA">
        <w:rPr>
          <w:rFonts w:ascii="Times New Roman" w:hAnsi="Times New Roman"/>
          <w:szCs w:val="24"/>
        </w:rPr>
        <w:t xml:space="preserve">Proceedings by a public agency which may result in taxes or assessments, or notices of such proceedings, whether or not shown by the records of such agency or by the </w:t>
      </w:r>
      <w:r>
        <w:rPr>
          <w:rFonts w:ascii="Times New Roman" w:hAnsi="Times New Roman"/>
          <w:szCs w:val="24"/>
        </w:rPr>
        <w:t>P</w:t>
      </w:r>
      <w:r w:rsidRPr="00553FEA">
        <w:rPr>
          <w:rFonts w:ascii="Times New Roman" w:hAnsi="Times New Roman"/>
          <w:szCs w:val="24"/>
        </w:rPr>
        <w:t xml:space="preserve">ublic </w:t>
      </w:r>
      <w:r>
        <w:rPr>
          <w:rFonts w:ascii="Times New Roman" w:hAnsi="Times New Roman"/>
          <w:szCs w:val="24"/>
        </w:rPr>
        <w:t>R</w:t>
      </w:r>
      <w:r w:rsidRPr="00553FEA">
        <w:rPr>
          <w:rFonts w:ascii="Times New Roman" w:hAnsi="Times New Roman"/>
          <w:szCs w:val="24"/>
        </w:rPr>
        <w:t>ecords.</w:t>
      </w:r>
    </w:p>
    <w:p w:rsidR="00581EB2" w:rsidRPr="00553FEA" w:rsidRDefault="00581EB2" w:rsidP="00581EB2">
      <w:pPr>
        <w:tabs>
          <w:tab w:val="left" w:pos="450"/>
        </w:tabs>
        <w:ind w:left="450" w:hanging="450"/>
        <w:jc w:val="both"/>
        <w:rPr>
          <w:rFonts w:ascii="Times New Roman" w:hAnsi="Times New Roman"/>
          <w:szCs w:val="24"/>
        </w:rPr>
      </w:pPr>
    </w:p>
    <w:p w:rsidR="00581EB2" w:rsidRPr="00553FEA" w:rsidRDefault="00581EB2" w:rsidP="00581EB2">
      <w:pPr>
        <w:tabs>
          <w:tab w:val="left" w:pos="450"/>
        </w:tabs>
        <w:ind w:left="450" w:hanging="450"/>
        <w:jc w:val="both"/>
        <w:rPr>
          <w:rFonts w:ascii="Times New Roman" w:hAnsi="Times New Roman"/>
          <w:szCs w:val="24"/>
        </w:rPr>
      </w:pPr>
      <w:r w:rsidRPr="00553FEA">
        <w:rPr>
          <w:rFonts w:ascii="Times New Roman" w:hAnsi="Times New Roman"/>
          <w:szCs w:val="24"/>
        </w:rPr>
        <w:t>2.</w:t>
      </w:r>
      <w:r w:rsidRPr="00553FEA">
        <w:rPr>
          <w:rFonts w:ascii="Times New Roman" w:hAnsi="Times New Roman"/>
          <w:szCs w:val="24"/>
        </w:rPr>
        <w:tab/>
        <w:t xml:space="preserve">Any facts, rights, interests, or claims which are not shown by the </w:t>
      </w:r>
      <w:r>
        <w:rPr>
          <w:rFonts w:ascii="Times New Roman" w:hAnsi="Times New Roman"/>
          <w:szCs w:val="24"/>
        </w:rPr>
        <w:t>P</w:t>
      </w:r>
      <w:r w:rsidRPr="00553FEA">
        <w:rPr>
          <w:rFonts w:ascii="Times New Roman" w:hAnsi="Times New Roman"/>
          <w:szCs w:val="24"/>
        </w:rPr>
        <w:t xml:space="preserve">ublic </w:t>
      </w:r>
      <w:r>
        <w:rPr>
          <w:rFonts w:ascii="Times New Roman" w:hAnsi="Times New Roman"/>
          <w:szCs w:val="24"/>
        </w:rPr>
        <w:t>R</w:t>
      </w:r>
      <w:r w:rsidRPr="00553FEA">
        <w:rPr>
          <w:rFonts w:ascii="Times New Roman" w:hAnsi="Times New Roman"/>
          <w:szCs w:val="24"/>
        </w:rPr>
        <w:t>ecords but which could be ascer</w:t>
      </w:r>
      <w:r>
        <w:rPr>
          <w:rFonts w:ascii="Times New Roman" w:hAnsi="Times New Roman"/>
          <w:szCs w:val="24"/>
        </w:rPr>
        <w:t>tained by an inspection of the L</w:t>
      </w:r>
      <w:r w:rsidRPr="00553FEA">
        <w:rPr>
          <w:rFonts w:ascii="Times New Roman" w:hAnsi="Times New Roman"/>
          <w:szCs w:val="24"/>
        </w:rPr>
        <w:t xml:space="preserve">and </w:t>
      </w:r>
      <w:r w:rsidRPr="00553FEA">
        <w:rPr>
          <w:rFonts w:ascii="Times New Roman" w:hAnsi="Times New Roman"/>
          <w:color w:val="000000"/>
          <w:szCs w:val="24"/>
        </w:rPr>
        <w:t>or which may be asserted</w:t>
      </w:r>
      <w:r w:rsidRPr="00553FEA">
        <w:rPr>
          <w:rFonts w:ascii="Times New Roman" w:hAnsi="Times New Roman"/>
          <w:szCs w:val="24"/>
        </w:rPr>
        <w:t xml:space="preserve"> by persons in possession thereof.</w:t>
      </w:r>
    </w:p>
    <w:p w:rsidR="00581EB2" w:rsidRPr="00553FEA" w:rsidRDefault="00581EB2" w:rsidP="00581EB2">
      <w:pPr>
        <w:tabs>
          <w:tab w:val="left" w:pos="450"/>
        </w:tabs>
        <w:ind w:left="450" w:hanging="450"/>
        <w:jc w:val="both"/>
        <w:rPr>
          <w:rFonts w:ascii="Times New Roman" w:hAnsi="Times New Roman"/>
          <w:szCs w:val="24"/>
        </w:rPr>
      </w:pPr>
    </w:p>
    <w:p w:rsidR="00581EB2" w:rsidRPr="00553FEA" w:rsidRDefault="00581EB2" w:rsidP="00581EB2">
      <w:pPr>
        <w:tabs>
          <w:tab w:val="left" w:pos="450"/>
        </w:tabs>
        <w:ind w:left="450" w:hanging="450"/>
        <w:jc w:val="both"/>
        <w:rPr>
          <w:rFonts w:ascii="Times New Roman" w:hAnsi="Times New Roman"/>
          <w:szCs w:val="24"/>
        </w:rPr>
      </w:pPr>
      <w:r w:rsidRPr="00553FEA">
        <w:rPr>
          <w:rFonts w:ascii="Times New Roman" w:hAnsi="Times New Roman"/>
          <w:szCs w:val="24"/>
        </w:rPr>
        <w:t>3.</w:t>
      </w:r>
      <w:r w:rsidRPr="00553FEA">
        <w:rPr>
          <w:rFonts w:ascii="Times New Roman" w:hAnsi="Times New Roman"/>
          <w:szCs w:val="24"/>
        </w:rPr>
        <w:tab/>
        <w:t xml:space="preserve">Easements, liens or encumbrances, or claims thereof, not shown by the </w:t>
      </w:r>
      <w:r>
        <w:rPr>
          <w:rFonts w:ascii="Times New Roman" w:hAnsi="Times New Roman"/>
          <w:szCs w:val="24"/>
        </w:rPr>
        <w:t>P</w:t>
      </w:r>
      <w:r w:rsidRPr="00553FEA">
        <w:rPr>
          <w:rFonts w:ascii="Times New Roman" w:hAnsi="Times New Roman"/>
          <w:szCs w:val="24"/>
        </w:rPr>
        <w:t xml:space="preserve">ublic </w:t>
      </w:r>
      <w:r>
        <w:rPr>
          <w:rFonts w:ascii="Times New Roman" w:hAnsi="Times New Roman"/>
          <w:szCs w:val="24"/>
        </w:rPr>
        <w:t>R</w:t>
      </w:r>
      <w:r w:rsidRPr="00553FEA">
        <w:rPr>
          <w:rFonts w:ascii="Times New Roman" w:hAnsi="Times New Roman"/>
          <w:szCs w:val="24"/>
        </w:rPr>
        <w:t>ecords.</w:t>
      </w:r>
    </w:p>
    <w:p w:rsidR="00581EB2" w:rsidRPr="00553FEA" w:rsidRDefault="00581EB2" w:rsidP="00581EB2">
      <w:pPr>
        <w:tabs>
          <w:tab w:val="left" w:pos="450"/>
        </w:tabs>
        <w:ind w:left="450" w:hanging="450"/>
        <w:jc w:val="both"/>
        <w:rPr>
          <w:rFonts w:ascii="Times New Roman" w:hAnsi="Times New Roman"/>
          <w:szCs w:val="24"/>
        </w:rPr>
      </w:pPr>
    </w:p>
    <w:p w:rsidR="00581EB2" w:rsidRPr="00553FEA" w:rsidRDefault="00581EB2" w:rsidP="00581EB2">
      <w:pPr>
        <w:tabs>
          <w:tab w:val="left" w:pos="450"/>
        </w:tabs>
        <w:ind w:left="450" w:hanging="450"/>
        <w:jc w:val="both"/>
        <w:rPr>
          <w:rFonts w:ascii="Times New Roman" w:hAnsi="Times New Roman"/>
          <w:szCs w:val="24"/>
        </w:rPr>
      </w:pPr>
      <w:r w:rsidRPr="00553FEA">
        <w:rPr>
          <w:rFonts w:ascii="Times New Roman" w:hAnsi="Times New Roman"/>
          <w:szCs w:val="24"/>
        </w:rPr>
        <w:t>4.</w:t>
      </w:r>
      <w:r w:rsidRPr="00553FEA">
        <w:rPr>
          <w:rFonts w:ascii="Times New Roman" w:hAnsi="Times New Roman"/>
          <w:szCs w:val="24"/>
        </w:rPr>
        <w:tab/>
        <w:t xml:space="preserve">Discrepancies, conflicts in boundary lines, shortage in area, encroachments, or any other facts which a correct survey would disclose, and which are not shown by the </w:t>
      </w:r>
      <w:r>
        <w:rPr>
          <w:rFonts w:ascii="Times New Roman" w:hAnsi="Times New Roman"/>
          <w:szCs w:val="24"/>
        </w:rPr>
        <w:t>P</w:t>
      </w:r>
      <w:r w:rsidRPr="00553FEA">
        <w:rPr>
          <w:rFonts w:ascii="Times New Roman" w:hAnsi="Times New Roman"/>
          <w:szCs w:val="24"/>
        </w:rPr>
        <w:t xml:space="preserve">ublic </w:t>
      </w:r>
      <w:r>
        <w:rPr>
          <w:rFonts w:ascii="Times New Roman" w:hAnsi="Times New Roman"/>
          <w:szCs w:val="24"/>
        </w:rPr>
        <w:t>R</w:t>
      </w:r>
      <w:r w:rsidRPr="00553FEA">
        <w:rPr>
          <w:rFonts w:ascii="Times New Roman" w:hAnsi="Times New Roman"/>
          <w:szCs w:val="24"/>
        </w:rPr>
        <w:t>ecords.</w:t>
      </w:r>
    </w:p>
    <w:p w:rsidR="00581EB2" w:rsidRPr="00553FEA" w:rsidRDefault="00581EB2" w:rsidP="00581EB2">
      <w:pPr>
        <w:tabs>
          <w:tab w:val="left" w:pos="450"/>
        </w:tabs>
        <w:ind w:left="450" w:hanging="450"/>
        <w:jc w:val="both"/>
        <w:rPr>
          <w:rFonts w:ascii="Times New Roman" w:hAnsi="Times New Roman"/>
          <w:szCs w:val="24"/>
        </w:rPr>
      </w:pPr>
    </w:p>
    <w:p w:rsidR="00581EB2" w:rsidRPr="00553FEA" w:rsidRDefault="00581EB2" w:rsidP="00581EB2">
      <w:pPr>
        <w:tabs>
          <w:tab w:val="left" w:pos="450"/>
        </w:tabs>
        <w:ind w:left="450" w:hanging="450"/>
        <w:jc w:val="both"/>
        <w:rPr>
          <w:rFonts w:ascii="Times New Roman" w:hAnsi="Times New Roman"/>
          <w:szCs w:val="24"/>
        </w:rPr>
      </w:pPr>
      <w:r w:rsidRPr="00553FEA">
        <w:rPr>
          <w:rFonts w:ascii="Times New Roman" w:hAnsi="Times New Roman"/>
          <w:szCs w:val="24"/>
        </w:rPr>
        <w:t>5.</w:t>
      </w:r>
      <w:r w:rsidRPr="00553FEA">
        <w:rPr>
          <w:rFonts w:ascii="Times New Roman" w:hAnsi="Times New Roman"/>
          <w:szCs w:val="24"/>
        </w:rPr>
        <w:tab/>
        <w:t>(a)</w:t>
      </w:r>
      <w:r>
        <w:rPr>
          <w:rFonts w:ascii="Times New Roman" w:hAnsi="Times New Roman"/>
          <w:szCs w:val="24"/>
        </w:rPr>
        <w:t xml:space="preserve"> </w:t>
      </w:r>
      <w:r w:rsidRPr="00553FEA">
        <w:rPr>
          <w:rFonts w:ascii="Times New Roman" w:hAnsi="Times New Roman"/>
          <w:szCs w:val="24"/>
        </w:rPr>
        <w:t>Unpatented mining claims;</w:t>
      </w:r>
      <w:r>
        <w:rPr>
          <w:rFonts w:ascii="Times New Roman" w:hAnsi="Times New Roman"/>
          <w:szCs w:val="24"/>
        </w:rPr>
        <w:t xml:space="preserve"> </w:t>
      </w:r>
      <w:r w:rsidRPr="00553FEA">
        <w:rPr>
          <w:rFonts w:ascii="Times New Roman" w:hAnsi="Times New Roman"/>
          <w:szCs w:val="24"/>
        </w:rPr>
        <w:t>(b) reservations or exceptions in patents or in Acts authorizing the issuance thereof;</w:t>
      </w:r>
      <w:r>
        <w:rPr>
          <w:rFonts w:ascii="Times New Roman" w:hAnsi="Times New Roman"/>
          <w:szCs w:val="24"/>
        </w:rPr>
        <w:t xml:space="preserve"> </w:t>
      </w:r>
      <w:r w:rsidRPr="00553FEA">
        <w:rPr>
          <w:rFonts w:ascii="Times New Roman" w:hAnsi="Times New Roman"/>
          <w:szCs w:val="24"/>
        </w:rPr>
        <w:t xml:space="preserve">(c) water rights, claims or title to water, whether or not the matters excepted under (a), (b) or (c) are shown by the </w:t>
      </w:r>
      <w:r>
        <w:rPr>
          <w:rFonts w:ascii="Times New Roman" w:hAnsi="Times New Roman"/>
          <w:szCs w:val="24"/>
        </w:rPr>
        <w:t>P</w:t>
      </w:r>
      <w:r w:rsidRPr="00553FEA">
        <w:rPr>
          <w:rFonts w:ascii="Times New Roman" w:hAnsi="Times New Roman"/>
          <w:szCs w:val="24"/>
        </w:rPr>
        <w:t xml:space="preserve">ublic </w:t>
      </w:r>
      <w:r>
        <w:rPr>
          <w:rFonts w:ascii="Times New Roman" w:hAnsi="Times New Roman"/>
          <w:szCs w:val="24"/>
        </w:rPr>
        <w:t>R</w:t>
      </w:r>
      <w:r w:rsidRPr="00553FEA">
        <w:rPr>
          <w:rFonts w:ascii="Times New Roman" w:hAnsi="Times New Roman"/>
          <w:szCs w:val="24"/>
        </w:rPr>
        <w:t>ecords.</w:t>
      </w:r>
    </w:p>
    <w:p w:rsidR="00581EB2" w:rsidRPr="00553FEA" w:rsidRDefault="00581EB2" w:rsidP="00581EB2">
      <w:pPr>
        <w:tabs>
          <w:tab w:val="left" w:pos="450"/>
        </w:tabs>
        <w:ind w:left="450" w:hanging="450"/>
        <w:jc w:val="both"/>
        <w:rPr>
          <w:rFonts w:ascii="Times New Roman" w:hAnsi="Times New Roman"/>
          <w:szCs w:val="24"/>
        </w:rPr>
      </w:pPr>
    </w:p>
    <w:p w:rsidR="00581EB2" w:rsidRDefault="00581EB2" w:rsidP="00581EB2">
      <w:pPr>
        <w:pStyle w:val="ListParagraph"/>
        <w:tabs>
          <w:tab w:val="left" w:pos="450"/>
        </w:tabs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553FEA">
        <w:rPr>
          <w:rFonts w:ascii="Times New Roman" w:hAnsi="Times New Roman"/>
          <w:sz w:val="24"/>
          <w:szCs w:val="24"/>
        </w:rPr>
        <w:t>6.</w:t>
      </w:r>
      <w:r w:rsidRPr="00553FEA">
        <w:rPr>
          <w:rFonts w:ascii="Times New Roman" w:hAnsi="Times New Roman"/>
          <w:sz w:val="24"/>
          <w:szCs w:val="24"/>
        </w:rPr>
        <w:tab/>
      </w:r>
      <w:r w:rsidRPr="00231AE4">
        <w:rPr>
          <w:rFonts w:ascii="Times New Roman" w:hAnsi="Times New Roman"/>
          <w:sz w:val="24"/>
          <w:szCs w:val="24"/>
        </w:rPr>
        <w:t xml:space="preserve">Any lien or right to a lien for services, labor or material unless such lien is shown by the </w:t>
      </w:r>
      <w:r>
        <w:rPr>
          <w:rFonts w:ascii="Times New Roman" w:hAnsi="Times New Roman"/>
          <w:sz w:val="24"/>
          <w:szCs w:val="24"/>
        </w:rPr>
        <w:t>P</w:t>
      </w:r>
      <w:r w:rsidRPr="00231AE4">
        <w:rPr>
          <w:rFonts w:ascii="Times New Roman" w:hAnsi="Times New Roman"/>
          <w:sz w:val="24"/>
          <w:szCs w:val="24"/>
        </w:rPr>
        <w:t xml:space="preserve">ublic </w:t>
      </w:r>
      <w:r>
        <w:rPr>
          <w:rFonts w:ascii="Times New Roman" w:hAnsi="Times New Roman"/>
          <w:sz w:val="24"/>
          <w:szCs w:val="24"/>
        </w:rPr>
        <w:t>R</w:t>
      </w:r>
      <w:r w:rsidRPr="00231AE4">
        <w:rPr>
          <w:rFonts w:ascii="Times New Roman" w:hAnsi="Times New Roman"/>
          <w:sz w:val="24"/>
          <w:szCs w:val="24"/>
        </w:rPr>
        <w:t>ecords at Date of Policy.</w:t>
      </w:r>
    </w:p>
    <w:p w:rsidR="004938E3" w:rsidRDefault="004938E3" w:rsidP="00581EB2">
      <w:pPr>
        <w:pStyle w:val="ListParagraph"/>
        <w:tabs>
          <w:tab w:val="left" w:pos="450"/>
        </w:tabs>
        <w:ind w:left="450" w:hanging="450"/>
        <w:jc w:val="both"/>
        <w:rPr>
          <w:rFonts w:ascii="Times New Roman" w:hAnsi="Times New Roman"/>
          <w:sz w:val="24"/>
          <w:szCs w:val="24"/>
        </w:rPr>
      </w:pPr>
    </w:p>
    <w:p w:rsidR="004938E3" w:rsidRPr="00553FEA" w:rsidRDefault="004938E3" w:rsidP="00581EB2">
      <w:pPr>
        <w:pStyle w:val="ListParagraph"/>
        <w:tabs>
          <w:tab w:val="left" w:pos="450"/>
        </w:tabs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8322EE">
        <w:rPr>
          <w:rFonts w:ascii="Times New Roman" w:hAnsi="Times New Roman"/>
          <w:sz w:val="24"/>
          <w:szCs w:val="24"/>
        </w:rPr>
        <w:t>Any claim to (a) ownership of or rights to minerals and similar substances, including but not limited to ores,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2EE">
        <w:rPr>
          <w:rFonts w:ascii="Times New Roman" w:hAnsi="Times New Roman"/>
          <w:sz w:val="24"/>
          <w:szCs w:val="24"/>
        </w:rPr>
        <w:t>metals, coal, lignite, oil, gas, uranium, clay, rock, sand, and gravel located in, on, or under the Land or produced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2EE">
        <w:rPr>
          <w:rFonts w:ascii="Times New Roman" w:hAnsi="Times New Roman"/>
          <w:sz w:val="24"/>
          <w:szCs w:val="24"/>
        </w:rPr>
        <w:t>from the Land, whether such ownership or rights arise by lease, grant, exception, conveyance, reservation, 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2EE">
        <w:rPr>
          <w:rFonts w:ascii="Times New Roman" w:hAnsi="Times New Roman"/>
          <w:sz w:val="24"/>
          <w:szCs w:val="24"/>
        </w:rPr>
        <w:t>otherwise; and (b) any rights, privileges, immunities, rights of way, and easements associated therewith 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2EE">
        <w:rPr>
          <w:rFonts w:ascii="Times New Roman" w:hAnsi="Times New Roman"/>
          <w:sz w:val="24"/>
          <w:szCs w:val="24"/>
        </w:rPr>
        <w:t>appurtenant thereto, whether or not the interests or rights excepted in (a) or (b) appear in the Public Records 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2EE">
        <w:rPr>
          <w:rFonts w:ascii="Times New Roman" w:hAnsi="Times New Roman"/>
          <w:sz w:val="24"/>
          <w:szCs w:val="24"/>
        </w:rPr>
        <w:t>are shown in Schedule B.</w:t>
      </w:r>
    </w:p>
    <w:p w:rsidR="00581EB2" w:rsidRPr="00553FEA" w:rsidRDefault="00581EB2" w:rsidP="00553FEA">
      <w:pPr>
        <w:jc w:val="both"/>
        <w:rPr>
          <w:rFonts w:ascii="Times New Roman" w:hAnsi="Times New Roman"/>
          <w:szCs w:val="24"/>
        </w:rPr>
      </w:pPr>
    </w:p>
    <w:sectPr w:rsidR="00581EB2" w:rsidRPr="00553FEA" w:rsidSect="00345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EA"/>
    <w:rsid w:val="00141ECB"/>
    <w:rsid w:val="00216AC3"/>
    <w:rsid w:val="00231AE4"/>
    <w:rsid w:val="00345175"/>
    <w:rsid w:val="003B46CD"/>
    <w:rsid w:val="004938E3"/>
    <w:rsid w:val="004E2F13"/>
    <w:rsid w:val="00512553"/>
    <w:rsid w:val="00553FEA"/>
    <w:rsid w:val="0055498F"/>
    <w:rsid w:val="00581EB2"/>
    <w:rsid w:val="005E63A8"/>
    <w:rsid w:val="00600552"/>
    <w:rsid w:val="00631353"/>
    <w:rsid w:val="0065061B"/>
    <w:rsid w:val="006B60DC"/>
    <w:rsid w:val="006C2E20"/>
    <w:rsid w:val="006E480F"/>
    <w:rsid w:val="00816267"/>
    <w:rsid w:val="00831447"/>
    <w:rsid w:val="00917BB7"/>
    <w:rsid w:val="009E2AC1"/>
    <w:rsid w:val="00A67688"/>
    <w:rsid w:val="00B36408"/>
    <w:rsid w:val="00BE18E2"/>
    <w:rsid w:val="00CA567C"/>
    <w:rsid w:val="00D23B20"/>
    <w:rsid w:val="00DA5FA8"/>
    <w:rsid w:val="00F2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EA"/>
    <w:pPr>
      <w:widowControl w:val="0"/>
      <w:spacing w:after="0" w:line="240" w:lineRule="auto"/>
    </w:pPr>
    <w:rPr>
      <w:rFonts w:ascii="CG Times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FEA"/>
    <w:pPr>
      <w:widowControl/>
      <w:ind w:left="720"/>
    </w:pPr>
    <w:rPr>
      <w:rFonts w:ascii="Calibri" w:eastAsia="Calibri" w:hAnsi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EA"/>
    <w:pPr>
      <w:widowControl w:val="0"/>
      <w:spacing w:after="0" w:line="240" w:lineRule="auto"/>
    </w:pPr>
    <w:rPr>
      <w:rFonts w:ascii="CG Times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FEA"/>
    <w:pPr>
      <w:widowControl/>
      <w:ind w:left="720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R. Therien</cp:lastModifiedBy>
  <cp:revision>10</cp:revision>
  <dcterms:created xsi:type="dcterms:W3CDTF">2019-03-19T15:09:00Z</dcterms:created>
  <dcterms:modified xsi:type="dcterms:W3CDTF">2022-06-01T16:36:00Z</dcterms:modified>
</cp:coreProperties>
</file>